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25/2006 </w:t>
      </w:r>
      <w:proofErr w:type="spellStart"/>
      <w:r w:rsidRPr="00C71A52">
        <w:rPr>
          <w:rFonts w:asciiTheme="minorHAnsi" w:hAnsiTheme="minorHAnsi" w:cs="Arial"/>
          <w:position w:val="-1"/>
          <w:sz w:val="20"/>
          <w:szCs w:val="20"/>
        </w:rPr>
        <w:t>Z.z.o</w:t>
      </w:r>
      <w:proofErr w:type="spellEnd"/>
      <w:r w:rsidRPr="00C71A52">
        <w:rPr>
          <w:rFonts w:asciiTheme="minorHAnsi" w:hAnsiTheme="minorHAnsi" w:cs="Arial"/>
          <w:position w:val="-1"/>
          <w:sz w:val="20"/>
          <w:szCs w:val="20"/>
        </w:rPr>
        <w:t xml:space="preserve"> verejnom</w:t>
      </w:r>
      <w:r w:rsidR="00E95258">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onovv zneníne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E95258" w:rsidRPr="00E95258">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E95258" w:rsidRPr="00E95258">
        <w:rPr>
          <w:rFonts w:asciiTheme="minorHAnsi" w:hAnsiTheme="minorHAnsi" w:cs="Arial"/>
          <w:sz w:val="22"/>
          <w:szCs w:val="22"/>
        </w:rPr>
        <w:t>Radničné námestie 16</w:t>
      </w:r>
      <w:r w:rsidR="00E95258">
        <w:rPr>
          <w:rFonts w:asciiTheme="minorHAnsi" w:hAnsiTheme="minorHAnsi" w:cs="Arial"/>
          <w:sz w:val="22"/>
          <w:szCs w:val="22"/>
        </w:rPr>
        <w:t>,</w:t>
      </w:r>
      <w:r w:rsidR="00E95258" w:rsidRPr="00E95258">
        <w:rPr>
          <w:rFonts w:asciiTheme="minorHAnsi" w:hAnsiTheme="minorHAnsi" w:cs="Arial"/>
          <w:sz w:val="22"/>
          <w:szCs w:val="22"/>
        </w:rPr>
        <w:t xml:space="preserve"> 085</w:t>
      </w:r>
      <w:r w:rsidR="00E95258">
        <w:rPr>
          <w:rFonts w:asciiTheme="minorHAnsi" w:hAnsiTheme="minorHAnsi" w:cs="Arial"/>
          <w:sz w:val="22"/>
          <w:szCs w:val="22"/>
        </w:rPr>
        <w:t xml:space="preserve"> </w:t>
      </w:r>
      <w:r w:rsidR="00E95258" w:rsidRPr="00E95258">
        <w:rPr>
          <w:rFonts w:asciiTheme="minorHAnsi" w:hAnsiTheme="minorHAnsi" w:cs="Arial"/>
          <w:sz w:val="22"/>
          <w:szCs w:val="22"/>
        </w:rPr>
        <w:t>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E95258">
        <w:rPr>
          <w:rFonts w:asciiTheme="minorHAnsi" w:hAnsiTheme="minorHAnsi" w:cs="Arial"/>
          <w:sz w:val="22"/>
          <w:szCs w:val="22"/>
        </w:rPr>
        <w:t xml:space="preserve">MUDr. Boris </w:t>
      </w:r>
      <w:proofErr w:type="spellStart"/>
      <w:r w:rsidR="00E95258">
        <w:rPr>
          <w:rFonts w:asciiTheme="minorHAnsi" w:hAnsiTheme="minorHAnsi" w:cs="Arial"/>
          <w:sz w:val="22"/>
          <w:szCs w:val="22"/>
        </w:rPr>
        <w:t>Hanušča</w:t>
      </w:r>
      <w:r w:rsidR="00E95258" w:rsidRPr="00E95258">
        <w:rPr>
          <w:rFonts w:asciiTheme="minorHAnsi" w:hAnsiTheme="minorHAnsi" w:cs="Arial"/>
          <w:sz w:val="22"/>
          <w:szCs w:val="22"/>
        </w:rPr>
        <w:t>k</w:t>
      </w:r>
      <w:proofErr w:type="spellEnd"/>
      <w:r w:rsidR="00E95258">
        <w:rPr>
          <w:rFonts w:asciiTheme="minorHAnsi" w:hAnsiTheme="minorHAnsi" w:cs="Arial"/>
          <w:sz w:val="22"/>
          <w:szCs w:val="22"/>
        </w:rPr>
        <w:t xml:space="preserve"> - primátor</w:t>
      </w:r>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E95258" w:rsidRPr="00E95258">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E95258" w:rsidRPr="00E95258">
        <w:rPr>
          <w:rFonts w:asciiTheme="minorHAnsi" w:hAnsiTheme="minorHAnsi" w:cs="Arial"/>
          <w:sz w:val="22"/>
          <w:szCs w:val="22"/>
        </w:rPr>
        <w:t>2020622923</w:t>
      </w:r>
    </w:p>
    <w:p w:rsidR="00E95258" w:rsidRPr="00473324" w:rsidRDefault="00E95258" w:rsidP="00E95258">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Pr="002E6394">
        <w:rPr>
          <w:rFonts w:asciiTheme="minorHAnsi" w:hAnsiTheme="minorHAnsi" w:cs="Arial"/>
          <w:sz w:val="22"/>
          <w:szCs w:val="22"/>
        </w:rPr>
        <w:t>Slovenská sporiteľňa, a. s.</w:t>
      </w:r>
    </w:p>
    <w:p w:rsidR="00E95258" w:rsidRPr="00F37B05" w:rsidRDefault="00E95258" w:rsidP="00E95258">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Pr="002E6394">
        <w:rPr>
          <w:rFonts w:asciiTheme="minorHAnsi" w:hAnsiTheme="minorHAnsi" w:cs="Arial"/>
          <w:sz w:val="22"/>
          <w:szCs w:val="22"/>
        </w:rPr>
        <w:t>GIBASKBX</w:t>
      </w:r>
    </w:p>
    <w:p w:rsidR="00867046" w:rsidRPr="000A32BA" w:rsidRDefault="00E95258" w:rsidP="00E95258">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Pr>
          <w:rFonts w:asciiTheme="minorHAnsi" w:hAnsiTheme="minorHAnsi" w:cs="Arial"/>
          <w:sz w:val="22"/>
          <w:szCs w:val="22"/>
        </w:rPr>
        <w:t>SK70 0900 0000 0050 5698 5200</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E31283" w:rsidRPr="00E31283">
        <w:rPr>
          <w:rFonts w:asciiTheme="minorHAnsi" w:hAnsiTheme="minorHAnsi" w:cs="Arial"/>
          <w:b/>
          <w:sz w:val="22"/>
          <w:szCs w:val="22"/>
        </w:rPr>
        <w:t>ZELENÉ PARKOVISKO NA ULICI DRUŽSTEVNÁ – 2.časť</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E31283" w:rsidRPr="00E31283">
        <w:rPr>
          <w:rFonts w:asciiTheme="minorHAnsi" w:hAnsiTheme="minorHAnsi" w:cs="Arial"/>
          <w:b/>
          <w:sz w:val="22"/>
          <w:szCs w:val="22"/>
        </w:rPr>
        <w:t>ZELENÉ PARKOVISKO NA ULICI DRUŽSTEVNÁ – 2.časť</w:t>
      </w:r>
      <w:r w:rsidR="004A15F2" w:rsidRPr="004A15F2">
        <w:rPr>
          <w:rFonts w:asciiTheme="minorHAnsi" w:hAnsiTheme="minorHAnsi" w:cs="Arial"/>
          <w:b/>
          <w:sz w:val="22"/>
          <w:szCs w:val="22"/>
        </w:rPr>
        <w:t xml:space="preserve"> </w:t>
      </w:r>
      <w:r w:rsidR="00212D29" w:rsidRPr="00212D29">
        <w:rPr>
          <w:rFonts w:asciiTheme="minorHAnsi" w:hAnsiTheme="minorHAnsi" w:cs="Arial"/>
          <w:b/>
          <w:sz w:val="22"/>
          <w:szCs w:val="22"/>
        </w:rPr>
        <w:t xml:space="preserve"> </w:t>
      </w:r>
      <w:r w:rsidRPr="003745B9">
        <w:rPr>
          <w:rFonts w:asciiTheme="minorHAnsi" w:hAnsiTheme="minorHAnsi" w:cs="Arial"/>
          <w:sz w:val="22"/>
          <w:szCs w:val="22"/>
        </w:rPr>
        <w:t xml:space="preserve">podľa Projektovej dokumentácie </w:t>
      </w:r>
      <w:r w:rsidR="004A15F2">
        <w:rPr>
          <w:rFonts w:asciiTheme="minorHAnsi" w:hAnsiTheme="minorHAnsi" w:cs="Arial"/>
          <w:sz w:val="22"/>
          <w:szCs w:val="22"/>
        </w:rPr>
        <w:t xml:space="preserve">a Výkazu výmer </w:t>
      </w:r>
      <w:r w:rsidRPr="003745B9">
        <w:rPr>
          <w:rFonts w:asciiTheme="minorHAnsi" w:hAnsiTheme="minorHAnsi" w:cs="Arial"/>
          <w:sz w:val="22"/>
          <w:szCs w:val="22"/>
        </w:rPr>
        <w:t xml:space="preserve">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4A15F2">
        <w:rPr>
          <w:rFonts w:asciiTheme="minorHAnsi" w:hAnsiTheme="minorHAnsi" w:cs="Arial"/>
          <w:b w:val="0"/>
          <w:sz w:val="22"/>
          <w:szCs w:val="22"/>
        </w:rPr>
        <w:t xml:space="preserve"> </w:t>
      </w:r>
      <w:r w:rsidR="00E31283">
        <w:rPr>
          <w:rFonts w:asciiTheme="minorHAnsi" w:hAnsiTheme="minorHAnsi" w:cs="Arial"/>
          <w:b w:val="0"/>
          <w:sz w:val="22"/>
          <w:szCs w:val="22"/>
        </w:rPr>
        <w:t>na ulici Družstevná v Bardejove, bližšie špecifikácie sú uvedené v projektovej dokumentácii</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4A15F2">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lastRenderedPageBreak/>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 xml:space="preserve">v </w:t>
      </w:r>
      <w:r w:rsidR="003D656A" w:rsidRPr="004A15F2">
        <w:rPr>
          <w:rFonts w:asciiTheme="minorHAnsi" w:hAnsiTheme="minorHAnsi" w:cs="Arial"/>
          <w:b w:val="0"/>
          <w:sz w:val="22"/>
          <w:szCs w:val="22"/>
        </w:rPr>
        <w:t xml:space="preserve">Prílohe č. </w:t>
      </w:r>
      <w:r w:rsidR="004A15F2" w:rsidRPr="004A15F2">
        <w:rPr>
          <w:rFonts w:asciiTheme="minorHAnsi" w:hAnsiTheme="minorHAnsi" w:cs="Arial"/>
          <w:b w:val="0"/>
          <w:sz w:val="22"/>
          <w:szCs w:val="22"/>
        </w:rPr>
        <w:t>3</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w:t>
      </w:r>
      <w:r w:rsidRPr="00071B82">
        <w:rPr>
          <w:rFonts w:asciiTheme="minorHAnsi" w:hAnsiTheme="minorHAnsi" w:cs="Arial"/>
          <w:b w:val="0"/>
          <w:sz w:val="22"/>
          <w:szCs w:val="22"/>
        </w:rPr>
        <w:lastRenderedPageBreak/>
        <w:t>oprávnený robiť zápisy zástupca objednávateľa – Stavebný dozor a Autorský dozor. Cestou stavebného denníka nie je možné meniť rozsah, cenu a termín zhotovenia diela.Zmluvné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w:t>
      </w:r>
      <w:r w:rsidRPr="00C71A52">
        <w:rPr>
          <w:rFonts w:asciiTheme="minorHAnsi" w:hAnsiTheme="minorHAnsi" w:cs="Arial"/>
          <w:b w:val="0"/>
          <w:sz w:val="22"/>
          <w:szCs w:val="22"/>
        </w:rPr>
        <w:lastRenderedPageBreak/>
        <w:t>mechanická pevnosť a stabilita, požiarna bezpečnosť, hygienické požiadavky, ochrana 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w:t>
      </w:r>
      <w:r w:rsidRPr="00C71A52">
        <w:rPr>
          <w:rFonts w:asciiTheme="minorHAnsi" w:hAnsiTheme="minorHAnsi" w:cs="Arial"/>
          <w:sz w:val="22"/>
          <w:szCs w:val="22"/>
        </w:rPr>
        <w:lastRenderedPageBreak/>
        <w:t>a technologické zariadenia sa poskytuje len za podmienky, že Objednávateľ si splní povinnosti 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3.1   neodstráni vady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3.2   nepristúpi k odstraňovaniu vád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3.3   neodstráni vady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4.2   odstrániť vady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4.3   zabezpečiť odstránenie vád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Náhradu nákladov podľa bodov 3 a 4 tohto článku môže Objednávateľ vykonať vystavením faktúry zavynaložené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w:t>
      </w:r>
      <w:r w:rsidRPr="00C71A52">
        <w:rPr>
          <w:rFonts w:asciiTheme="minorHAnsi" w:hAnsiTheme="minorHAnsi" w:cs="Arial"/>
          <w:sz w:val="22"/>
          <w:szCs w:val="22"/>
        </w:rPr>
        <w:lastRenderedPageBreak/>
        <w:t xml:space="preserve">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vád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w:t>
      </w:r>
      <w:r w:rsidRPr="007A6DB6">
        <w:rPr>
          <w:rFonts w:asciiTheme="minorHAnsi" w:hAnsiTheme="minorHAnsi" w:cs="Arial"/>
          <w:sz w:val="22"/>
          <w:szCs w:val="22"/>
        </w:rPr>
        <w:lastRenderedPageBreak/>
        <w:t>poskytnutí NFP vykonávaný v súlade s príslušnými právnymi predpismi SR a EU oprávnenými 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v. Osoby prizvané orgánmi uvedenými v písm. i) až iv)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 xml:space="preserve">Príloha č. </w:t>
      </w:r>
      <w:r w:rsidR="004A15F2">
        <w:rPr>
          <w:rFonts w:asciiTheme="minorHAnsi" w:hAnsiTheme="minorHAnsi" w:cs="Arial"/>
          <w:b/>
          <w:sz w:val="22"/>
          <w:szCs w:val="22"/>
        </w:rPr>
        <w:t>3</w:t>
      </w:r>
      <w:r w:rsidRPr="00FD7600">
        <w:rPr>
          <w:rFonts w:asciiTheme="minorHAnsi" w:hAnsiTheme="minorHAnsi" w:cs="Arial"/>
          <w:b/>
          <w:sz w:val="22"/>
          <w:szCs w:val="22"/>
        </w:rPr>
        <w:t>: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w:t>
      </w:r>
      <w:r w:rsidRPr="00C71A52">
        <w:rPr>
          <w:rFonts w:asciiTheme="minorHAnsi" w:hAnsiTheme="minorHAnsi" w:cs="Arial"/>
          <w:sz w:val="22"/>
          <w:szCs w:val="22"/>
        </w:rPr>
        <w:lastRenderedPageBreak/>
        <w:t xml:space="preserve">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1B2A05"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1B2A05" w:rsidRPr="000F1FB8">
      <w:rPr>
        <w:rFonts w:ascii="Arial" w:hAnsi="Arial" w:cs="Arial"/>
        <w:i/>
        <w:sz w:val="16"/>
        <w:szCs w:val="16"/>
      </w:rPr>
      <w:fldChar w:fldCharType="separate"/>
    </w:r>
    <w:r w:rsidR="009C45C6">
      <w:rPr>
        <w:rFonts w:ascii="Arial" w:hAnsi="Arial" w:cs="Arial"/>
        <w:i/>
        <w:sz w:val="16"/>
        <w:szCs w:val="16"/>
      </w:rPr>
      <w:t>1</w:t>
    </w:r>
    <w:r w:rsidR="001B2A05" w:rsidRPr="000F1FB8">
      <w:rPr>
        <w:rFonts w:ascii="Arial" w:hAnsi="Arial" w:cs="Arial"/>
        <w:i/>
        <w:sz w:val="16"/>
        <w:szCs w:val="16"/>
      </w:rPr>
      <w:fldChar w:fldCharType="end"/>
    </w:r>
    <w:r w:rsidRPr="000F1FB8">
      <w:rPr>
        <w:rFonts w:ascii="Arial" w:hAnsi="Arial" w:cs="Arial"/>
        <w:i/>
        <w:sz w:val="16"/>
        <w:szCs w:val="16"/>
      </w:rPr>
      <w:t xml:space="preserve"> z </w:t>
    </w:r>
    <w:r w:rsidR="001B2A05"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1B2A05" w:rsidRPr="000F1FB8">
      <w:rPr>
        <w:rFonts w:ascii="Arial" w:hAnsi="Arial" w:cs="Arial"/>
        <w:i/>
        <w:sz w:val="16"/>
        <w:szCs w:val="16"/>
      </w:rPr>
      <w:fldChar w:fldCharType="separate"/>
    </w:r>
    <w:r w:rsidR="009C45C6">
      <w:rPr>
        <w:rFonts w:ascii="Arial" w:hAnsi="Arial" w:cs="Arial"/>
        <w:i/>
        <w:sz w:val="16"/>
        <w:szCs w:val="16"/>
      </w:rPr>
      <w:t>11</w:t>
    </w:r>
    <w:r w:rsidR="001B2A05"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E31283">
      <w:rPr>
        <w:b/>
        <w:sz w:val="16"/>
        <w:szCs w:val="16"/>
      </w:rPr>
      <w:t>Zelené parkovisko na ulici Družstevná – 2. časť</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4B89"/>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A05"/>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276"/>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0CA"/>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5F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6E9"/>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6678"/>
    <w:rsid w:val="00887B90"/>
    <w:rsid w:val="00891AFC"/>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5C6"/>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283"/>
    <w:rsid w:val="00E31394"/>
    <w:rsid w:val="00E31C78"/>
    <w:rsid w:val="00E323B9"/>
    <w:rsid w:val="00E34B54"/>
    <w:rsid w:val="00E34C73"/>
    <w:rsid w:val="00E35050"/>
    <w:rsid w:val="00E362E5"/>
    <w:rsid w:val="00E36E20"/>
    <w:rsid w:val="00E37A4A"/>
    <w:rsid w:val="00E37E84"/>
    <w:rsid w:val="00E37FC6"/>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5258"/>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4041</Words>
  <Characters>24650</Characters>
  <Application>Microsoft Office Word</Application>
  <DocSecurity>0</DocSecurity>
  <Lines>205</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15</cp:revision>
  <cp:lastPrinted>2020-01-21T11:04:00Z</cp:lastPrinted>
  <dcterms:created xsi:type="dcterms:W3CDTF">2016-08-08T06:52:00Z</dcterms:created>
  <dcterms:modified xsi:type="dcterms:W3CDTF">2020-01-21T11:04:00Z</dcterms:modified>
</cp:coreProperties>
</file>